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Kumla kommunfullmäktige</w:t>
      </w:r>
    </w:p>
    <w:p>
      <w:pPr>
        <w:pStyle w:val="Heading1"/>
      </w:pPr>
      <w:r>
        <w:t xml:space="preserve">Förbättrat företagsklimat i Kumla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Kumla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2025 placerar Kumla på plats 142. Företagare uppger höga avgifter och långa tillståndstider som hinder. Lokalt näringsliv är viktigt för jobb och skatteintäkter.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Kumla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uppdrag att sänka tillsynsavgifter för småföretag med 15 %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företagslotsfunktion inrättas för snabbare kontakt med kommunen.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dialogmöten med näringslivet hålls minst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Kumla deltar i Svenskt Näringslivs ranking med tydliga förbättringsmål.</w:t>
      </w:r>
    </w:p>
    <w:p>
      <w:pPr>
        <w:spacing w:before="360"/>
      </w:pPr>
    </w:p>
    <w:p>
      <w:r>
        <w:t xml:space="preserve">Kumla,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Kumla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2026-07-14T00:31:55.379Z</dcterms:created>
  <dcterms:modified xsi:type="dcterms:W3CDTF">2026-07-14T00:31:55.379Z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